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DC" w:rsidRDefault="005027DC">
      <w:pPr>
        <w:rPr>
          <w:rFonts w:eastAsia="Times New Roman"/>
        </w:rPr>
      </w:pPr>
      <w:r>
        <w:rPr>
          <w:rFonts w:eastAsia="Times New Roman"/>
        </w:rPr>
        <w:t>Email subject: 2019 cap relief</w:t>
      </w:r>
    </w:p>
    <w:p w:rsidR="005027DC" w:rsidRDefault="005027DC">
      <w:pPr>
        <w:rPr>
          <w:rFonts w:eastAsia="Times New Roman"/>
        </w:rPr>
      </w:pPr>
      <w:bookmarkStart w:id="0" w:name="_GoBack"/>
      <w:bookmarkEnd w:id="0"/>
    </w:p>
    <w:p w:rsidR="001D1229" w:rsidRDefault="003928D0">
      <w:pPr>
        <w:rPr>
          <w:rFonts w:eastAsia="Times New Roman"/>
        </w:rPr>
      </w:pPr>
      <w:r>
        <w:rPr>
          <w:rFonts w:eastAsia="Times New Roman"/>
        </w:rPr>
        <w:t xml:space="preserve">I am writing because I am </w:t>
      </w:r>
      <w:r w:rsidR="00490964">
        <w:rPr>
          <w:rFonts w:eastAsia="Times New Roman"/>
        </w:rPr>
        <w:t xml:space="preserve">teetering on the brink of </w:t>
      </w:r>
      <w:r>
        <w:rPr>
          <w:rFonts w:eastAsia="Times New Roman"/>
        </w:rPr>
        <w:t>losing my business</w:t>
      </w:r>
      <w:r w:rsidR="00EC1B16">
        <w:rPr>
          <w:rFonts w:eastAsia="Times New Roman"/>
        </w:rPr>
        <w:t>.  C</w:t>
      </w:r>
      <w:r>
        <w:rPr>
          <w:rFonts w:eastAsia="Times New Roman"/>
        </w:rPr>
        <w:t xml:space="preserve">ongress and the Administration will not </w:t>
      </w:r>
      <w:r w:rsidR="00EC1B16">
        <w:rPr>
          <w:rFonts w:eastAsia="Times New Roman"/>
        </w:rPr>
        <w:t>permit</w:t>
      </w:r>
      <w:r>
        <w:rPr>
          <w:rFonts w:eastAsia="Times New Roman"/>
        </w:rPr>
        <w:t xml:space="preserve"> me and other seasonal business</w:t>
      </w:r>
      <w:r w:rsidR="00CE11CA">
        <w:rPr>
          <w:rFonts w:eastAsia="Times New Roman"/>
        </w:rPr>
        <w:t>es</w:t>
      </w:r>
      <w:r w:rsidR="00EC1B16">
        <w:rPr>
          <w:rFonts w:eastAsia="Times New Roman"/>
        </w:rPr>
        <w:t xml:space="preserve"> like mine </w:t>
      </w:r>
      <w:r>
        <w:rPr>
          <w:rFonts w:eastAsia="Times New Roman"/>
        </w:rPr>
        <w:t xml:space="preserve">to hire workers legally authorized to work in the US.   In the past, I have relied on the federal non-immigrant temporary/seasonal H-2B worker program to supplement my regular, U.S. workforce.  </w:t>
      </w:r>
      <w:r w:rsidR="00EC1B16">
        <w:rPr>
          <w:rFonts w:eastAsia="Times New Roman"/>
        </w:rPr>
        <w:t>Unfortunately</w:t>
      </w:r>
      <w:r>
        <w:rPr>
          <w:rFonts w:eastAsia="Times New Roman"/>
        </w:rPr>
        <w:t>, the H-2B program</w:t>
      </w:r>
      <w:r w:rsidRPr="00840BC2">
        <w:t xml:space="preserve"> </w:t>
      </w:r>
      <w:r w:rsidRPr="00840BC2">
        <w:rPr>
          <w:rFonts w:eastAsia="Times New Roman"/>
        </w:rPr>
        <w:t xml:space="preserve">each year </w:t>
      </w:r>
      <w:r>
        <w:rPr>
          <w:rFonts w:eastAsia="Times New Roman"/>
        </w:rPr>
        <w:t xml:space="preserve">is limited to 66,000 workers divided into first and second half annual allocations. </w:t>
      </w:r>
    </w:p>
    <w:p w:rsidR="003928D0" w:rsidRDefault="003928D0" w:rsidP="003928D0">
      <w:pPr>
        <w:rPr>
          <w:rFonts w:eastAsia="Times New Roman"/>
        </w:rPr>
      </w:pPr>
      <w:r>
        <w:rPr>
          <w:rFonts w:eastAsia="Times New Roman"/>
        </w:rPr>
        <w:t>As of March 31, the Department of Labor received over 4,500 applications for over 98,000 workers.</w:t>
      </w:r>
      <w:r w:rsidRPr="00840BC2">
        <w:rPr>
          <w:rFonts w:eastAsia="Times New Roman"/>
        </w:rPr>
        <w:t xml:space="preserve"> </w:t>
      </w:r>
      <w:r>
        <w:rPr>
          <w:rFonts w:eastAsia="Times New Roman"/>
        </w:rPr>
        <w:t xml:space="preserve">The </w:t>
      </w:r>
      <w:r w:rsidRPr="00840BC2">
        <w:rPr>
          <w:rFonts w:eastAsia="Times New Roman"/>
        </w:rPr>
        <w:t>demand for H-2B workers exceeds the available visas by three times.</w:t>
      </w:r>
    </w:p>
    <w:p w:rsidR="003928D0" w:rsidRPr="00840BC2" w:rsidRDefault="003928D0" w:rsidP="003928D0">
      <w:pPr>
        <w:rPr>
          <w:rFonts w:eastAsia="Times New Roman"/>
        </w:rPr>
      </w:pPr>
      <w:r>
        <w:rPr>
          <w:rFonts w:eastAsia="Times New Roman"/>
        </w:rPr>
        <w:t xml:space="preserve">In the FY18 Omnibus spending bill passed on March 23, Congress granted </w:t>
      </w:r>
      <w:r w:rsidR="00EC1B16">
        <w:rPr>
          <w:rFonts w:eastAsia="Times New Roman"/>
        </w:rPr>
        <w:t>Department of Homeland Security</w:t>
      </w:r>
      <w:r>
        <w:rPr>
          <w:rFonts w:eastAsia="Times New Roman"/>
        </w:rPr>
        <w:t xml:space="preserve"> the discretionary authority to issue </w:t>
      </w:r>
      <w:r w:rsidR="00EC1B16">
        <w:rPr>
          <w:rFonts w:eastAsia="Times New Roman"/>
        </w:rPr>
        <w:t xml:space="preserve">up to 68,000 additional visas.  Inexplicably, DHS </w:t>
      </w:r>
      <w:r>
        <w:rPr>
          <w:rFonts w:eastAsia="Times New Roman"/>
        </w:rPr>
        <w:t xml:space="preserve">Secretary Nielsen has </w:t>
      </w:r>
      <w:r w:rsidR="00EC1B16">
        <w:rPr>
          <w:rFonts w:eastAsia="Times New Roman"/>
        </w:rPr>
        <w:t>refused to date to issue</w:t>
      </w:r>
      <w:r>
        <w:rPr>
          <w:rFonts w:eastAsia="Times New Roman"/>
        </w:rPr>
        <w:t xml:space="preserve"> any </w:t>
      </w:r>
      <w:r w:rsidR="00197350">
        <w:rPr>
          <w:rFonts w:eastAsia="Times New Roman"/>
        </w:rPr>
        <w:t xml:space="preserve">of these </w:t>
      </w:r>
      <w:r>
        <w:rPr>
          <w:rFonts w:eastAsia="Times New Roman"/>
        </w:rPr>
        <w:t xml:space="preserve">additional visas. </w:t>
      </w:r>
    </w:p>
    <w:p w:rsidR="003928D0" w:rsidRDefault="003928D0" w:rsidP="003928D0">
      <w:r>
        <w:t xml:space="preserve">I cannot stress enough the catastrophic situation this uncertainty </w:t>
      </w:r>
      <w:r w:rsidR="003A66DC">
        <w:t>has created</w:t>
      </w:r>
      <w:r>
        <w:t xml:space="preserve"> for my company. Despite extensive </w:t>
      </w:r>
      <w:r w:rsidR="00EC1B16">
        <w:t>recruiting</w:t>
      </w:r>
      <w:r>
        <w:t>, I have only been able to hire ___ U.S. worker</w:t>
      </w:r>
      <w:r w:rsidR="003A66DC">
        <w:t>s</w:t>
      </w:r>
      <w:r>
        <w:t xml:space="preserve">.  </w:t>
      </w:r>
    </w:p>
    <w:p w:rsidR="00490964" w:rsidRDefault="003928D0" w:rsidP="003928D0">
      <w:r>
        <w:t xml:space="preserve">Many people </w:t>
      </w:r>
      <w:r w:rsidR="00EC1B16">
        <w:t xml:space="preserve">ask why I </w:t>
      </w:r>
      <w:r w:rsidR="00490964">
        <w:t>do not</w:t>
      </w:r>
      <w:r w:rsidR="00EC1B16">
        <w:t xml:space="preserve"> offer higher wage rates to attract legal, U.S. workers.  </w:t>
      </w:r>
      <w:r>
        <w:t xml:space="preserve"> </w:t>
      </w:r>
      <w:r w:rsidR="00490964">
        <w:t>First</w:t>
      </w:r>
      <w:r w:rsidR="00EC1B16">
        <w:t>, I am paying a respectable hourly wage nearly twice the U.S. minimum wage</w:t>
      </w:r>
      <w:r w:rsidR="00490964">
        <w:t xml:space="preserve"> which is set by the U.S. Department of Labor</w:t>
      </w:r>
      <w:r w:rsidR="00AD6B78">
        <w:t>. It is also</w:t>
      </w:r>
      <w:r w:rsidR="00490964">
        <w:t xml:space="preserve"> higher than the ‘prevailing wage’ other businesses like mine in our area</w:t>
      </w:r>
      <w:r w:rsidR="00AD6B78">
        <w:t xml:space="preserve"> pays workers in the same occupation</w:t>
      </w:r>
      <w:r w:rsidR="00EC1B16">
        <w:t xml:space="preserve">.  </w:t>
      </w:r>
      <w:r w:rsidR="00490964">
        <w:t xml:space="preserve"> Therefore, </w:t>
      </w:r>
      <w:r w:rsidR="000C2444">
        <w:t>clearly</w:t>
      </w:r>
      <w:r w:rsidR="00490964">
        <w:t xml:space="preserve"> it is not the wage rate that makes it difficult to find sufficient seasonal workers.</w:t>
      </w:r>
    </w:p>
    <w:p w:rsidR="007827EE" w:rsidRDefault="00EC1B16" w:rsidP="003928D0">
      <w:r>
        <w:t xml:space="preserve">Also, the </w:t>
      </w:r>
      <w:r w:rsidR="00490964">
        <w:t>shortage</w:t>
      </w:r>
      <w:r>
        <w:t xml:space="preserve"> of U.S. workers </w:t>
      </w:r>
      <w:r w:rsidR="007827EE">
        <w:t>cannot be solved by s</w:t>
      </w:r>
      <w:r>
        <w:t xml:space="preserve">imply </w:t>
      </w:r>
      <w:r w:rsidR="00197350">
        <w:t>paying more</w:t>
      </w:r>
      <w:r>
        <w:t xml:space="preserve">.  What I pay is already more per hour than other industries </w:t>
      </w:r>
      <w:r w:rsidR="00490964">
        <w:t xml:space="preserve">in our area </w:t>
      </w:r>
      <w:r>
        <w:t xml:space="preserve">such as fast food and hotels/motels.  </w:t>
      </w:r>
      <w:r w:rsidR="007827EE">
        <w:t>There are other considerations as well, including the perception that jobs involving heavy manual labor, outdoors in all weather conditions are not desirable.  Further, the jobs I have available are not permanent; they are temporary and as such, cannot compete with indoor, p</w:t>
      </w:r>
      <w:r w:rsidR="00AD6B78">
        <w:t>ermanent jobs even if they pay</w:t>
      </w:r>
      <w:r w:rsidR="007827EE">
        <w:t xml:space="preserve"> </w:t>
      </w:r>
      <w:r w:rsidR="00AD6B78">
        <w:t>less</w:t>
      </w:r>
      <w:r w:rsidR="007827EE">
        <w:t xml:space="preserve">.  </w:t>
      </w:r>
    </w:p>
    <w:p w:rsidR="003928D0" w:rsidRPr="00490964" w:rsidRDefault="007827EE" w:rsidP="003928D0">
      <w:r>
        <w:t xml:space="preserve">Then there is the anti-competitive aspect of increased hourly wage rates.  </w:t>
      </w:r>
      <w:r w:rsidR="00490964">
        <w:t>Labor</w:t>
      </w:r>
      <w:r w:rsidR="00EC1B16">
        <w:t xml:space="preserve"> costs are the highest component of my annual </w:t>
      </w:r>
      <w:r w:rsidR="003928D0">
        <w:t>budget</w:t>
      </w:r>
      <w:r w:rsidR="00490964">
        <w:t xml:space="preserve">.  </w:t>
      </w:r>
      <w:r>
        <w:t>If I increased</w:t>
      </w:r>
      <w:r w:rsidR="00490964">
        <w:t xml:space="preserve"> my hourly wage rate </w:t>
      </w:r>
      <w:r>
        <w:t xml:space="preserve">it </w:t>
      </w:r>
      <w:r w:rsidR="00490964">
        <w:t xml:space="preserve">would have to be passed along to my customers in the form of higher </w:t>
      </w:r>
      <w:r>
        <w:t xml:space="preserve">costs </w:t>
      </w:r>
      <w:r w:rsidR="00490964">
        <w:t>which would make my company’s services uncompetitive in comparison with other area [</w:t>
      </w:r>
      <w:r w:rsidR="00490964" w:rsidRPr="00490964">
        <w:rPr>
          <w:i/>
        </w:rPr>
        <w:t xml:space="preserve">name of industry ex. </w:t>
      </w:r>
      <w:r w:rsidR="00490964">
        <w:rPr>
          <w:i/>
        </w:rPr>
        <w:t>l</w:t>
      </w:r>
      <w:r w:rsidR="00490964" w:rsidRPr="00490964">
        <w:rPr>
          <w:i/>
        </w:rPr>
        <w:t>andscapers</w:t>
      </w:r>
      <w:r w:rsidR="00490964">
        <w:t xml:space="preserve">].  Because of these and other factors, </w:t>
      </w:r>
      <w:r>
        <w:t>my ability to absorb increased labor expenditures is sharply limited</w:t>
      </w:r>
      <w:r w:rsidR="003928D0" w:rsidRPr="00490964">
        <w:t xml:space="preserve">.  </w:t>
      </w:r>
    </w:p>
    <w:p w:rsidR="003928D0" w:rsidRDefault="003928D0">
      <w:r>
        <w:t>I am struggling to survive as a business. While I hope that Secretary Nielsen utilizes her discretion</w:t>
      </w:r>
      <w:r w:rsidR="003A66DC">
        <w:t xml:space="preserve"> as soon as possible</w:t>
      </w:r>
      <w:r>
        <w:t>,</w:t>
      </w:r>
      <w:r w:rsidR="003A66DC">
        <w:t xml:space="preserve"> the truth is that it will be too late for most seasonal businesses whose busiest times of year are between March and May. </w:t>
      </w:r>
      <w:r w:rsidR="00197350">
        <w:t xml:space="preserve"> I understand</w:t>
      </w:r>
      <w:r w:rsidR="00CE11CA">
        <w:t xml:space="preserve"> </w:t>
      </w:r>
      <w:r>
        <w:t>this is out of</w:t>
      </w:r>
      <w:r w:rsidR="00CE11CA">
        <w:t xml:space="preserve"> Congressman</w:t>
      </w:r>
      <w:r>
        <w:t xml:space="preserve"> _____’</w:t>
      </w:r>
      <w:r w:rsidR="003A66DC">
        <w:t>s control. What is in Congressman</w:t>
      </w:r>
      <w:r>
        <w:t xml:space="preserve"> ___’s control is the fate of cap relief for 2019. </w:t>
      </w:r>
      <w:r w:rsidR="00197350">
        <w:t xml:space="preserve"> Committee deliberations on next year’s DHS appropriation is fast approaching.  </w:t>
      </w:r>
      <w:r>
        <w:t xml:space="preserve">Will Congressman ______ make a personal request to </w:t>
      </w:r>
      <w:r w:rsidR="00490964">
        <w:t xml:space="preserve">the DHS Appropriations Committee’s Chairman, John Carter, </w:t>
      </w:r>
      <w:r>
        <w:t xml:space="preserve">to include the language below in the </w:t>
      </w:r>
      <w:r w:rsidR="003A66DC">
        <w:t>baseline bill for DHS for FY19?</w:t>
      </w:r>
    </w:p>
    <w:p w:rsidR="003928D0" w:rsidRPr="003928D0" w:rsidRDefault="003928D0" w:rsidP="003928D0">
      <w:pPr>
        <w:spacing w:before="360" w:after="360" w:line="240" w:lineRule="auto"/>
        <w:ind w:left="720" w:right="864"/>
        <w:rPr>
          <w:rFonts w:ascii="Calibri" w:eastAsia="Calibri" w:hAnsi="Calibri" w:cs="Times New Roman"/>
          <w:i/>
          <w:iCs/>
          <w:sz w:val="24"/>
          <w:szCs w:val="24"/>
        </w:rPr>
      </w:pPr>
      <w:r w:rsidRPr="003928D0">
        <w:rPr>
          <w:rFonts w:ascii="Calibri" w:eastAsia="Calibri" w:hAnsi="Calibri" w:cs="Times New Roman"/>
          <w:i/>
          <w:iCs/>
          <w:sz w:val="24"/>
          <w:szCs w:val="24"/>
        </w:rPr>
        <w:t xml:space="preserve">Requested </w:t>
      </w:r>
      <w:r w:rsidRPr="00FC742D">
        <w:rPr>
          <w:rFonts w:ascii="Calibri" w:eastAsia="Calibri" w:hAnsi="Calibri" w:cs="Times New Roman"/>
          <w:i/>
          <w:iCs/>
          <w:sz w:val="24"/>
          <w:szCs w:val="24"/>
        </w:rPr>
        <w:t>Language</w:t>
      </w:r>
      <w:r w:rsidRPr="003928D0">
        <w:rPr>
          <w:rFonts w:ascii="Calibri" w:eastAsia="Calibri" w:hAnsi="Calibri" w:cs="Times New Roman"/>
          <w:i/>
          <w:iCs/>
          <w:sz w:val="24"/>
          <w:szCs w:val="24"/>
        </w:rPr>
        <w:t xml:space="preserve"> in FY2019 Legislation – Homeland Security Provision</w:t>
      </w:r>
    </w:p>
    <w:p w:rsidR="003928D0" w:rsidRPr="003928D0" w:rsidRDefault="003928D0" w:rsidP="003928D0">
      <w:pPr>
        <w:numPr>
          <w:ilvl w:val="0"/>
          <w:numId w:val="1"/>
        </w:numPr>
        <w:spacing w:after="0" w:line="240" w:lineRule="auto"/>
        <w:ind w:left="1440"/>
        <w:contextualSpacing/>
        <w:rPr>
          <w:rFonts w:ascii="Calibri" w:eastAsia="Calibri" w:hAnsi="Calibri" w:cs="Times New Roman"/>
          <w:sz w:val="24"/>
          <w:szCs w:val="24"/>
        </w:rPr>
      </w:pPr>
      <w:r w:rsidRPr="003928D0">
        <w:rPr>
          <w:rFonts w:ascii="Calibri" w:eastAsia="Calibri" w:hAnsi="Calibri" w:cs="Times New Roman"/>
          <w:sz w:val="24"/>
          <w:szCs w:val="24"/>
        </w:rPr>
        <w:t xml:space="preserve">Cap Relief Amendment </w:t>
      </w:r>
    </w:p>
    <w:p w:rsidR="003928D0" w:rsidRPr="003928D0" w:rsidRDefault="003928D0" w:rsidP="003928D0">
      <w:pPr>
        <w:spacing w:after="0" w:line="240" w:lineRule="auto"/>
        <w:ind w:left="720"/>
        <w:rPr>
          <w:rFonts w:ascii="Calibri" w:eastAsia="Calibri" w:hAnsi="Calibri" w:cs="Times New Roman"/>
          <w:sz w:val="24"/>
          <w:szCs w:val="24"/>
        </w:rPr>
      </w:pPr>
      <w:r w:rsidRPr="003928D0">
        <w:rPr>
          <w:rFonts w:ascii="Calibri" w:eastAsia="Calibri" w:hAnsi="Calibri" w:cs="Times New Roman"/>
          <w:b/>
          <w:bCs/>
          <w:i/>
          <w:iCs/>
          <w:sz w:val="24"/>
          <w:szCs w:val="24"/>
        </w:rPr>
        <w:t> </w:t>
      </w:r>
    </w:p>
    <w:p w:rsidR="003928D0" w:rsidRPr="003928D0" w:rsidRDefault="003928D0" w:rsidP="003928D0">
      <w:pPr>
        <w:spacing w:after="0" w:line="240" w:lineRule="auto"/>
        <w:ind w:left="720"/>
        <w:rPr>
          <w:rFonts w:ascii="Calibri" w:eastAsia="Calibri" w:hAnsi="Calibri" w:cs="Times New Roman"/>
          <w:sz w:val="24"/>
          <w:szCs w:val="24"/>
        </w:rPr>
      </w:pPr>
      <w:r w:rsidRPr="003928D0">
        <w:rPr>
          <w:rFonts w:ascii="Calibri" w:eastAsia="Calibri" w:hAnsi="Calibri" w:cs="Times New Roman"/>
          <w:bCs/>
          <w:i/>
          <w:iCs/>
          <w:sz w:val="24"/>
          <w:szCs w:val="24"/>
        </w:rPr>
        <w:t>SEC.—Fiscal Year Cap Relief</w:t>
      </w:r>
    </w:p>
    <w:p w:rsidR="003928D0" w:rsidRPr="003928D0" w:rsidRDefault="003928D0" w:rsidP="003928D0">
      <w:pPr>
        <w:spacing w:after="0" w:line="240" w:lineRule="auto"/>
        <w:ind w:left="720"/>
        <w:rPr>
          <w:rFonts w:ascii="Calibri" w:eastAsia="Calibri" w:hAnsi="Calibri" w:cs="Times New Roman"/>
          <w:sz w:val="24"/>
          <w:szCs w:val="24"/>
        </w:rPr>
      </w:pPr>
      <w:r w:rsidRPr="003928D0">
        <w:rPr>
          <w:rFonts w:ascii="Calibri" w:eastAsia="Calibri" w:hAnsi="Calibri" w:cs="Times New Roman"/>
          <w:bCs/>
          <w:i/>
          <w:iCs/>
          <w:sz w:val="24"/>
          <w:szCs w:val="24"/>
        </w:rPr>
        <w:t> </w:t>
      </w:r>
    </w:p>
    <w:p w:rsidR="003928D0" w:rsidRPr="003928D0" w:rsidRDefault="003928D0" w:rsidP="003928D0">
      <w:pPr>
        <w:spacing w:after="0" w:line="240" w:lineRule="auto"/>
        <w:ind w:left="720"/>
        <w:rPr>
          <w:rFonts w:ascii="Calibri" w:eastAsia="Calibri" w:hAnsi="Calibri" w:cs="Times New Roman"/>
          <w:sz w:val="24"/>
          <w:szCs w:val="24"/>
        </w:rPr>
      </w:pPr>
      <w:r w:rsidRPr="003928D0">
        <w:rPr>
          <w:rFonts w:ascii="Calibri" w:eastAsia="Calibri" w:hAnsi="Calibri" w:cs="Times New Roman"/>
          <w:bCs/>
          <w:i/>
          <w:iCs/>
          <w:sz w:val="24"/>
          <w:szCs w:val="24"/>
        </w:rPr>
        <w:lastRenderedPageBreak/>
        <w:t>Section 214(g</w:t>
      </w:r>
      <w:proofErr w:type="gramStart"/>
      <w:r w:rsidRPr="003928D0">
        <w:rPr>
          <w:rFonts w:ascii="Calibri" w:eastAsia="Calibri" w:hAnsi="Calibri" w:cs="Times New Roman"/>
          <w:bCs/>
          <w:i/>
          <w:iCs/>
          <w:sz w:val="24"/>
          <w:szCs w:val="24"/>
        </w:rPr>
        <w:t>)(</w:t>
      </w:r>
      <w:proofErr w:type="gramEnd"/>
      <w:r w:rsidRPr="003928D0">
        <w:rPr>
          <w:rFonts w:ascii="Calibri" w:eastAsia="Calibri" w:hAnsi="Calibri" w:cs="Times New Roman"/>
          <w:bCs/>
          <w:i/>
          <w:iCs/>
          <w:sz w:val="24"/>
          <w:szCs w:val="24"/>
        </w:rPr>
        <w:t>1)(B) (8 U.S.C 1184(g)(1)(B) is amended as follows:</w:t>
      </w:r>
    </w:p>
    <w:p w:rsidR="003928D0" w:rsidRPr="003928D0" w:rsidRDefault="003928D0" w:rsidP="003928D0">
      <w:pPr>
        <w:spacing w:after="0" w:line="240" w:lineRule="auto"/>
        <w:ind w:left="720"/>
        <w:rPr>
          <w:rFonts w:ascii="Calibri" w:eastAsia="Calibri" w:hAnsi="Calibri" w:cs="Times New Roman"/>
          <w:sz w:val="24"/>
          <w:szCs w:val="24"/>
        </w:rPr>
      </w:pPr>
      <w:r w:rsidRPr="003928D0">
        <w:rPr>
          <w:rFonts w:ascii="Calibri" w:eastAsia="Calibri" w:hAnsi="Calibri" w:cs="Times New Roman"/>
          <w:bCs/>
          <w:i/>
          <w:iCs/>
          <w:sz w:val="24"/>
          <w:szCs w:val="24"/>
        </w:rPr>
        <w:t> </w:t>
      </w:r>
    </w:p>
    <w:p w:rsidR="003928D0" w:rsidRPr="003928D0" w:rsidRDefault="003928D0" w:rsidP="003928D0">
      <w:pPr>
        <w:spacing w:after="0" w:line="240" w:lineRule="auto"/>
        <w:ind w:left="720"/>
        <w:rPr>
          <w:rFonts w:ascii="Calibri" w:eastAsia="Calibri" w:hAnsi="Calibri" w:cs="Times New Roman"/>
        </w:rPr>
      </w:pPr>
      <w:r w:rsidRPr="003928D0">
        <w:rPr>
          <w:rFonts w:ascii="Calibri" w:eastAsia="Calibri" w:hAnsi="Calibri" w:cs="Times New Roman"/>
          <w:bCs/>
          <w:i/>
          <w:iCs/>
          <w:sz w:val="24"/>
          <w:szCs w:val="24"/>
        </w:rPr>
        <w:t xml:space="preserve">(C) Notwithstanding the numerical limitation set forth above, the Secretary of Homeland Security, upon receipt of DOL certifications that sufficient United States workers who are willing, qualified, and able to perform temporary nonagricultural  labor are not available, </w:t>
      </w:r>
      <w:r w:rsidRPr="00490964">
        <w:rPr>
          <w:rFonts w:ascii="Calibri" w:eastAsia="Calibri" w:hAnsi="Calibri" w:cs="Times New Roman"/>
          <w:b/>
          <w:bCs/>
          <w:i/>
          <w:iCs/>
          <w:sz w:val="24"/>
          <w:szCs w:val="24"/>
        </w:rPr>
        <w:t>shall</w:t>
      </w:r>
      <w:r w:rsidRPr="003928D0">
        <w:rPr>
          <w:rFonts w:ascii="Calibri" w:eastAsia="Calibri" w:hAnsi="Calibri" w:cs="Times New Roman"/>
          <w:bCs/>
          <w:i/>
          <w:iCs/>
          <w:sz w:val="24"/>
          <w:szCs w:val="24"/>
        </w:rPr>
        <w:t xml:space="preserve"> increase the total number of visas issued under section 101(a)(15)(H)(ii)(b) of such Act (8 U.S.C. 1101(a)(15)(H)(ii)(b)) in such fiscal year  above such limitation by a number sufficient to fulfill those DOL certifications; provided, that the total number of visas above the numerical limitation set forth above shall be) not more than the highest number of H–2B nonimmigrants who participated in the H–2B returning worker program in any fiscal year in which  returning workers were exempt from such numerical limitation.  Such increase shall be effective as if implemented at the beginning of each fiscal year.</w:t>
      </w:r>
    </w:p>
    <w:p w:rsidR="003928D0" w:rsidRPr="003928D0" w:rsidRDefault="003928D0" w:rsidP="003928D0">
      <w:pPr>
        <w:spacing w:after="0" w:line="240" w:lineRule="auto"/>
        <w:rPr>
          <w:rFonts w:ascii="Times New Roman" w:eastAsia="Calibri" w:hAnsi="Times New Roman" w:cs="Times New Roman"/>
          <w:color w:val="000000"/>
          <w:sz w:val="24"/>
          <w:szCs w:val="24"/>
        </w:rPr>
      </w:pPr>
      <w:r w:rsidRPr="003928D0">
        <w:rPr>
          <w:rFonts w:ascii="Times New Roman" w:eastAsia="Calibri" w:hAnsi="Times New Roman" w:cs="Times New Roman"/>
          <w:b/>
          <w:bCs/>
          <w:color w:val="000000"/>
          <w:sz w:val="24"/>
          <w:szCs w:val="24"/>
        </w:rPr>
        <w:t> </w:t>
      </w:r>
    </w:p>
    <w:p w:rsidR="003928D0" w:rsidRDefault="003A66DC">
      <w:r>
        <w:t xml:space="preserve">Thank you for your assistance. </w:t>
      </w:r>
    </w:p>
    <w:sectPr w:rsidR="00392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086"/>
    <w:multiLevelType w:val="hybridMultilevel"/>
    <w:tmpl w:val="BF9E9622"/>
    <w:lvl w:ilvl="0" w:tplc="CE02A008">
      <w:start w:val="1"/>
      <w:numFmt w:val="upperRoman"/>
      <w:lvlText w:val="%1."/>
      <w:lvlJc w:val="left"/>
      <w:pPr>
        <w:ind w:left="720" w:hanging="720"/>
      </w:pPr>
      <w:rPr>
        <w:rFonts w:eastAsia="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D0"/>
    <w:rsid w:val="000C2444"/>
    <w:rsid w:val="00197350"/>
    <w:rsid w:val="001D1229"/>
    <w:rsid w:val="003928D0"/>
    <w:rsid w:val="003A66DC"/>
    <w:rsid w:val="00442AB2"/>
    <w:rsid w:val="00490964"/>
    <w:rsid w:val="004C66E3"/>
    <w:rsid w:val="005027DC"/>
    <w:rsid w:val="00573F8A"/>
    <w:rsid w:val="007827EE"/>
    <w:rsid w:val="00A55276"/>
    <w:rsid w:val="00AD6B78"/>
    <w:rsid w:val="00CE11CA"/>
    <w:rsid w:val="00EC1B16"/>
    <w:rsid w:val="00FC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FE38"/>
  <w15:chartTrackingRefBased/>
  <w15:docId w15:val="{A8DFD837-738A-47C7-BECB-A36E4C2B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Instructions">
    <w:name w:val="RED_Instructions"/>
    <w:basedOn w:val="Normal"/>
    <w:link w:val="REDInstructionsChar"/>
    <w:qFormat/>
    <w:rsid w:val="00A55276"/>
    <w:pPr>
      <w:spacing w:before="240" w:after="120" w:line="240" w:lineRule="auto"/>
    </w:pPr>
    <w:rPr>
      <w:rFonts w:ascii="Garamond" w:eastAsia="Times New Roman" w:hAnsi="Garamond" w:cs="Times New Roman"/>
      <w:b/>
      <w:color w:val="FF0000"/>
    </w:rPr>
  </w:style>
  <w:style w:type="character" w:customStyle="1" w:styleId="REDInstructionsChar">
    <w:name w:val="RED_Instructions Char"/>
    <w:link w:val="REDInstructions"/>
    <w:rsid w:val="00A55276"/>
    <w:rPr>
      <w:rFonts w:ascii="Garamond" w:eastAsia="Times New Roman" w:hAnsi="Garamond" w:cs="Times New Roman"/>
      <w:b/>
      <w:color w:val="FF0000"/>
    </w:rPr>
  </w:style>
  <w:style w:type="character" w:styleId="CommentReference">
    <w:name w:val="annotation reference"/>
    <w:basedOn w:val="DefaultParagraphFont"/>
    <w:uiPriority w:val="99"/>
    <w:semiHidden/>
    <w:unhideWhenUsed/>
    <w:rsid w:val="00EC1B16"/>
    <w:rPr>
      <w:sz w:val="16"/>
      <w:szCs w:val="16"/>
    </w:rPr>
  </w:style>
  <w:style w:type="paragraph" w:styleId="CommentText">
    <w:name w:val="annotation text"/>
    <w:basedOn w:val="Normal"/>
    <w:link w:val="CommentTextChar"/>
    <w:uiPriority w:val="99"/>
    <w:semiHidden/>
    <w:unhideWhenUsed/>
    <w:rsid w:val="00EC1B16"/>
    <w:pPr>
      <w:spacing w:line="240" w:lineRule="auto"/>
    </w:pPr>
    <w:rPr>
      <w:sz w:val="20"/>
      <w:szCs w:val="20"/>
    </w:rPr>
  </w:style>
  <w:style w:type="character" w:customStyle="1" w:styleId="CommentTextChar">
    <w:name w:val="Comment Text Char"/>
    <w:basedOn w:val="DefaultParagraphFont"/>
    <w:link w:val="CommentText"/>
    <w:uiPriority w:val="99"/>
    <w:semiHidden/>
    <w:rsid w:val="00EC1B16"/>
    <w:rPr>
      <w:sz w:val="20"/>
      <w:szCs w:val="20"/>
    </w:rPr>
  </w:style>
  <w:style w:type="paragraph" w:styleId="CommentSubject">
    <w:name w:val="annotation subject"/>
    <w:basedOn w:val="CommentText"/>
    <w:next w:val="CommentText"/>
    <w:link w:val="CommentSubjectChar"/>
    <w:uiPriority w:val="99"/>
    <w:semiHidden/>
    <w:unhideWhenUsed/>
    <w:rsid w:val="00EC1B16"/>
    <w:rPr>
      <w:b/>
      <w:bCs/>
    </w:rPr>
  </w:style>
  <w:style w:type="character" w:customStyle="1" w:styleId="CommentSubjectChar">
    <w:name w:val="Comment Subject Char"/>
    <w:basedOn w:val="CommentTextChar"/>
    <w:link w:val="CommentSubject"/>
    <w:uiPriority w:val="99"/>
    <w:semiHidden/>
    <w:rsid w:val="00EC1B16"/>
    <w:rPr>
      <w:b/>
      <w:bCs/>
      <w:sz w:val="20"/>
      <w:szCs w:val="20"/>
    </w:rPr>
  </w:style>
  <w:style w:type="paragraph" w:styleId="BalloonText">
    <w:name w:val="Balloon Text"/>
    <w:basedOn w:val="Normal"/>
    <w:link w:val="BalloonTextChar"/>
    <w:uiPriority w:val="99"/>
    <w:semiHidden/>
    <w:unhideWhenUsed/>
    <w:rsid w:val="00EC1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16"/>
    <w:rPr>
      <w:rFonts w:ascii="Segoe UI" w:hAnsi="Segoe UI" w:cs="Segoe UI"/>
      <w:sz w:val="18"/>
      <w:szCs w:val="18"/>
    </w:rPr>
  </w:style>
  <w:style w:type="paragraph" w:styleId="Revision">
    <w:name w:val="Revision"/>
    <w:hidden/>
    <w:uiPriority w:val="99"/>
    <w:semiHidden/>
    <w:rsid w:val="00EC1B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0788">
      <w:bodyDiv w:val="1"/>
      <w:marLeft w:val="0"/>
      <w:marRight w:val="0"/>
      <w:marTop w:val="0"/>
      <w:marBottom w:val="0"/>
      <w:divBdr>
        <w:top w:val="none" w:sz="0" w:space="0" w:color="auto"/>
        <w:left w:val="none" w:sz="0" w:space="0" w:color="auto"/>
        <w:bottom w:val="none" w:sz="0" w:space="0" w:color="auto"/>
        <w:right w:val="none" w:sz="0" w:space="0" w:color="auto"/>
      </w:divBdr>
    </w:div>
    <w:div w:id="19597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EBBF7-B92C-446C-8B60-A3869DC8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Delany</dc:creator>
  <cp:keywords/>
  <dc:description/>
  <cp:lastModifiedBy>Gray Delany</cp:lastModifiedBy>
  <cp:revision>2</cp:revision>
  <dcterms:created xsi:type="dcterms:W3CDTF">2018-04-23T20:28:00Z</dcterms:created>
  <dcterms:modified xsi:type="dcterms:W3CDTF">2018-04-23T20:28:00Z</dcterms:modified>
</cp:coreProperties>
</file>